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68" w:rsidRDefault="009D7E68" w:rsidP="00552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C2A" w:rsidRPr="00F23F8D" w:rsidRDefault="00F65C2A" w:rsidP="00552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F8D">
        <w:rPr>
          <w:rFonts w:ascii="Times New Roman" w:hAnsi="Times New Roman" w:cs="Times New Roman"/>
          <w:sz w:val="24"/>
          <w:szCs w:val="24"/>
        </w:rPr>
        <w:t xml:space="preserve">Библиотечная Ассоциация Республики Карелия </w:t>
      </w:r>
    </w:p>
    <w:p w:rsidR="00F23F8D" w:rsidRPr="00F23F8D" w:rsidRDefault="00F23F8D" w:rsidP="00552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F8D">
        <w:rPr>
          <w:rFonts w:ascii="Times New Roman" w:hAnsi="Times New Roman" w:cs="Times New Roman"/>
          <w:sz w:val="24"/>
          <w:szCs w:val="24"/>
        </w:rPr>
        <w:t>Карельск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23F8D">
        <w:rPr>
          <w:rFonts w:ascii="Times New Roman" w:hAnsi="Times New Roman" w:cs="Times New Roman"/>
          <w:sz w:val="24"/>
          <w:szCs w:val="24"/>
        </w:rPr>
        <w:t xml:space="preserve"> филиал РАНХиГС</w:t>
      </w:r>
    </w:p>
    <w:p w:rsidR="009D7E68" w:rsidRPr="00D72FE0" w:rsidRDefault="009D7E68" w:rsidP="00552A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65C2A" w:rsidRPr="00D72FE0" w:rsidRDefault="00F65C2A" w:rsidP="00552A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2FE0">
        <w:rPr>
          <w:rFonts w:ascii="Times New Roman" w:hAnsi="Times New Roman" w:cs="Times New Roman"/>
          <w:b/>
          <w:i/>
          <w:sz w:val="24"/>
          <w:szCs w:val="24"/>
        </w:rPr>
        <w:t>Проект «Сельская библиотека</w:t>
      </w:r>
      <w:r w:rsidR="00837575" w:rsidRPr="00D72F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2FE0">
        <w:rPr>
          <w:rFonts w:ascii="Times New Roman" w:hAnsi="Times New Roman" w:cs="Times New Roman"/>
          <w:b/>
          <w:i/>
          <w:sz w:val="24"/>
          <w:szCs w:val="24"/>
        </w:rPr>
        <w:t>- среда возможностей муниципалитета и коммуникации жителей Карелии»</w:t>
      </w: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Pr="009D7E68" w:rsidRDefault="009D7E68" w:rsidP="009D7E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7E68">
        <w:rPr>
          <w:rFonts w:ascii="Times New Roman" w:hAnsi="Times New Roman" w:cs="Times New Roman"/>
          <w:b/>
          <w:i/>
          <w:sz w:val="28"/>
          <w:szCs w:val="28"/>
        </w:rPr>
        <w:t>Краткий отчет по результатам исследования «Диалог власти и населения по проблемам жизни сельского населения Карелии»</w:t>
      </w: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575" w:rsidRDefault="00837575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E68">
        <w:rPr>
          <w:rFonts w:ascii="Times New Roman" w:hAnsi="Times New Roman" w:cs="Times New Roman"/>
          <w:color w:val="000000" w:themeColor="text1"/>
          <w:sz w:val="24"/>
          <w:szCs w:val="24"/>
        </w:rPr>
        <w:t>При реализации проекта использованы  средства государственной поддержки, выделенные в качестве гранта в соответствии с распоряжением Президента Российской Федерации от 05.04.2016 №  68-рп и на основании конкурса, проведенного Фондом поддержки гражданской активности в малых городах и сельских территориях «Перспектива»</w:t>
      </w: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E68" w:rsidRDefault="00D72FE0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D7E68" w:rsidRDefault="009D7E68" w:rsidP="00D7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2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2F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 В.П.Лапичкова </w:t>
      </w:r>
    </w:p>
    <w:p w:rsidR="009D7E68" w:rsidRDefault="00D72FE0" w:rsidP="00D72FE0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работ </w:t>
      </w:r>
      <w:r w:rsidR="009D7E68">
        <w:rPr>
          <w:rFonts w:ascii="Times New Roman" w:hAnsi="Times New Roman" w:cs="Times New Roman"/>
          <w:sz w:val="24"/>
          <w:szCs w:val="24"/>
        </w:rPr>
        <w:t xml:space="preserve">: Л.П.Швец </w:t>
      </w:r>
    </w:p>
    <w:p w:rsidR="00D72FE0" w:rsidRPr="00F23F8D" w:rsidRDefault="00D72FE0" w:rsidP="00D72FE0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работ:</w:t>
      </w:r>
      <w:r w:rsidRPr="00D72FE0">
        <w:rPr>
          <w:rFonts w:ascii="Times New Roman" w:hAnsi="Times New Roman" w:cs="Times New Roman"/>
          <w:sz w:val="24"/>
          <w:szCs w:val="24"/>
        </w:rPr>
        <w:t xml:space="preserve"> </w:t>
      </w:r>
      <w:r w:rsidRPr="00F23F8D">
        <w:rPr>
          <w:rFonts w:ascii="Times New Roman" w:hAnsi="Times New Roman" w:cs="Times New Roman"/>
          <w:sz w:val="24"/>
          <w:szCs w:val="24"/>
        </w:rPr>
        <w:t>Карельск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23F8D">
        <w:rPr>
          <w:rFonts w:ascii="Times New Roman" w:hAnsi="Times New Roman" w:cs="Times New Roman"/>
          <w:sz w:val="24"/>
          <w:szCs w:val="24"/>
        </w:rPr>
        <w:t xml:space="preserve"> филиал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23F8D">
        <w:rPr>
          <w:rFonts w:ascii="Times New Roman" w:hAnsi="Times New Roman" w:cs="Times New Roman"/>
          <w:sz w:val="24"/>
          <w:szCs w:val="24"/>
        </w:rPr>
        <w:t>АНХиГС</w:t>
      </w:r>
    </w:p>
    <w:p w:rsidR="00D72FE0" w:rsidRPr="00552AAA" w:rsidRDefault="00D72FE0" w:rsidP="009D7E68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D7E68" w:rsidRPr="009D7E68" w:rsidRDefault="009D7E68" w:rsidP="00837575">
      <w:pPr>
        <w:pStyle w:val="a6"/>
        <w:tabs>
          <w:tab w:val="left" w:pos="0"/>
        </w:tabs>
        <w:spacing w:before="60" w:after="60" w:line="28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C2A" w:rsidRDefault="00F65C2A" w:rsidP="0055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68" w:rsidRDefault="009D7E68" w:rsidP="0055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68" w:rsidRDefault="009D7E68" w:rsidP="0055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68" w:rsidRPr="00552AAA" w:rsidRDefault="009D7E68" w:rsidP="009D7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Краткий о</w:t>
      </w:r>
      <w:r w:rsidRPr="00552AAA">
        <w:rPr>
          <w:rFonts w:ascii="Times New Roman" w:hAnsi="Times New Roman" w:cs="Times New Roman"/>
          <w:b/>
          <w:sz w:val="28"/>
          <w:szCs w:val="28"/>
        </w:rPr>
        <w:t>тчет по результатам исследования «Диалог власти и населения по проблемам жизни сельского населения Карелии»</w:t>
      </w:r>
    </w:p>
    <w:p w:rsidR="0038388D" w:rsidRPr="00AA467A" w:rsidRDefault="005F3BBC">
      <w:pPr>
        <w:rPr>
          <w:rFonts w:ascii="Times New Roman" w:hAnsi="Times New Roman" w:cs="Times New Roman"/>
          <w:b/>
          <w:sz w:val="28"/>
          <w:szCs w:val="28"/>
        </w:rPr>
      </w:pPr>
      <w:r w:rsidRPr="00AA46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="0038388D" w:rsidRPr="00AA467A">
        <w:rPr>
          <w:rFonts w:ascii="Times New Roman" w:hAnsi="Times New Roman" w:cs="Times New Roman"/>
          <w:b/>
          <w:sz w:val="28"/>
          <w:szCs w:val="28"/>
        </w:rPr>
        <w:t>Описание выборки</w:t>
      </w:r>
    </w:p>
    <w:p w:rsidR="00274C2A" w:rsidRPr="00FC0A4F" w:rsidRDefault="00760108" w:rsidP="004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0A4F" w:rsidRPr="00FC0A4F">
        <w:rPr>
          <w:rFonts w:ascii="Times New Roman" w:hAnsi="Times New Roman" w:cs="Times New Roman"/>
          <w:sz w:val="24"/>
          <w:szCs w:val="24"/>
        </w:rPr>
        <w:t>Всего в рамках исследования было получено 425 анкет.  Исследование проводилось в шести поселениях: Видлица (Олонецкий район), г.Олонец,  Эссойла (Пряжинский район), Сосновец (Беломорский район), Софпорог ( Лоухский район), п.Лоухи.</w:t>
      </w:r>
      <w:r w:rsidR="00274C2A">
        <w:rPr>
          <w:rFonts w:ascii="Times New Roman" w:hAnsi="Times New Roman" w:cs="Times New Roman"/>
          <w:sz w:val="24"/>
          <w:szCs w:val="24"/>
        </w:rPr>
        <w:t xml:space="preserve"> </w:t>
      </w:r>
      <w:r w:rsidR="00274C2A" w:rsidRPr="00FC0A4F">
        <w:rPr>
          <w:rFonts w:ascii="Times New Roman" w:hAnsi="Times New Roman" w:cs="Times New Roman"/>
          <w:sz w:val="24"/>
          <w:szCs w:val="24"/>
        </w:rPr>
        <w:t xml:space="preserve">Для опроса была использована квотная выборка. </w:t>
      </w:r>
    </w:p>
    <w:p w:rsidR="00FC0A4F" w:rsidRDefault="00760108" w:rsidP="004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0A4F" w:rsidRPr="00FC0A4F">
        <w:rPr>
          <w:rFonts w:ascii="Times New Roman" w:hAnsi="Times New Roman" w:cs="Times New Roman"/>
          <w:sz w:val="24"/>
          <w:szCs w:val="24"/>
        </w:rPr>
        <w:t>Доля женщин среди респондентов составила 57,9%; мужчин – 42,1%.</w:t>
      </w:r>
    </w:p>
    <w:p w:rsidR="004A4A50" w:rsidRDefault="004A4A50" w:rsidP="004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E68" w:rsidRDefault="00760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C0A4F" w:rsidRPr="0038388D" w:rsidRDefault="00760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88D" w:rsidRPr="0038388D">
        <w:rPr>
          <w:rFonts w:ascii="Times New Roman" w:hAnsi="Times New Roman" w:cs="Times New Roman"/>
          <w:sz w:val="24"/>
          <w:szCs w:val="24"/>
        </w:rPr>
        <w:t xml:space="preserve">Распределение респондентов по возрастным группам показано </w:t>
      </w:r>
      <w:r w:rsidR="0038388D">
        <w:rPr>
          <w:rFonts w:ascii="Times New Roman" w:hAnsi="Times New Roman" w:cs="Times New Roman"/>
          <w:sz w:val="24"/>
          <w:szCs w:val="24"/>
        </w:rPr>
        <w:t>н</w:t>
      </w:r>
      <w:r w:rsidR="0038388D" w:rsidRPr="0038388D">
        <w:rPr>
          <w:rFonts w:ascii="Times New Roman" w:hAnsi="Times New Roman" w:cs="Times New Roman"/>
          <w:sz w:val="24"/>
          <w:szCs w:val="24"/>
        </w:rPr>
        <w:t xml:space="preserve">а </w:t>
      </w:r>
      <w:r w:rsidR="0038388D">
        <w:rPr>
          <w:rFonts w:ascii="Times New Roman" w:hAnsi="Times New Roman" w:cs="Times New Roman"/>
          <w:sz w:val="24"/>
          <w:szCs w:val="24"/>
        </w:rPr>
        <w:t>Диагр. 1</w:t>
      </w:r>
    </w:p>
    <w:p w:rsidR="0038388D" w:rsidRDefault="0038388D">
      <w:r w:rsidRPr="0038388D">
        <w:rPr>
          <w:noProof/>
          <w:lang w:eastAsia="ru-RU"/>
        </w:rPr>
        <w:drawing>
          <wp:inline distT="0" distB="0" distL="0" distR="0">
            <wp:extent cx="4286250" cy="23812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0108" w:rsidRDefault="00760108"/>
    <w:p w:rsidR="009D7E68" w:rsidRDefault="009D7E68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E68" w:rsidRDefault="009D7E68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E68" w:rsidRDefault="009D7E68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E68" w:rsidRDefault="009D7E68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E68" w:rsidRDefault="009D7E68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C17" w:rsidRDefault="00E7559A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опрошенных жителей Карелии преобладают люди со средним профессиональным и высшим образованием ( см. Диагр. 2) </w:t>
      </w:r>
    </w:p>
    <w:p w:rsidR="00E7559A" w:rsidRDefault="00E7559A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559A" w:rsidRDefault="00E7559A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55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4400" cy="339090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559A" w:rsidRDefault="00E7559A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559A" w:rsidRDefault="00E7559A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559A" w:rsidRDefault="00E7559A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388D" w:rsidRDefault="0038388D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71% опрошенных респондентов состоят в браке</w:t>
      </w:r>
      <w:r w:rsidR="005C0C17">
        <w:rPr>
          <w:rFonts w:ascii="Times New Roman" w:hAnsi="Times New Roman" w:cs="Times New Roman"/>
          <w:sz w:val="24"/>
          <w:szCs w:val="24"/>
        </w:rPr>
        <w:t>, 9% разведены, 6% - вдовы или вдовцы и 15% составляют одинокие люди. Большинство опрошенных имеют детей, нет детей только у 15,6% опрошенных.</w:t>
      </w:r>
    </w:p>
    <w:p w:rsidR="004A4A50" w:rsidRDefault="004A4A50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многочисленными группой респондентов по роду  занятий явились пенсионеры, работники социальной сферы и культуры, сферы торговли, промышленности и транспорта ( см. диагр. 3)</w:t>
      </w:r>
    </w:p>
    <w:p w:rsidR="00CA6F06" w:rsidRDefault="004A4A50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A50" w:rsidRPr="004A4A50" w:rsidRDefault="004A4A50" w:rsidP="003838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4A50">
        <w:rPr>
          <w:rFonts w:ascii="Times New Roman" w:hAnsi="Times New Roman" w:cs="Times New Roman"/>
          <w:b/>
          <w:sz w:val="24"/>
          <w:szCs w:val="24"/>
        </w:rPr>
        <w:t>Диагр. 3 Распределение респондентов п</w:t>
      </w:r>
      <w:r w:rsidR="00147909" w:rsidRPr="004A4A50">
        <w:rPr>
          <w:rFonts w:ascii="Times New Roman" w:hAnsi="Times New Roman" w:cs="Times New Roman"/>
          <w:b/>
          <w:sz w:val="24"/>
          <w:szCs w:val="24"/>
        </w:rPr>
        <w:t>о роду занятий</w:t>
      </w:r>
      <w:r w:rsidRPr="004A4A50">
        <w:rPr>
          <w:rFonts w:ascii="Times New Roman" w:hAnsi="Times New Roman" w:cs="Times New Roman"/>
          <w:b/>
          <w:sz w:val="24"/>
          <w:szCs w:val="24"/>
        </w:rPr>
        <w:t xml:space="preserve"> ( в %)</w:t>
      </w:r>
    </w:p>
    <w:p w:rsidR="004A4A50" w:rsidRDefault="004A4A50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6F06" w:rsidRDefault="00CA6F06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C93006" wp14:editId="0E4FD6E7">
            <wp:extent cx="5686425" cy="4100513"/>
            <wp:effectExtent l="0" t="0" r="952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C0C17" w:rsidRPr="0038388D" w:rsidRDefault="005C0C17" w:rsidP="003838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467A" w:rsidRDefault="00AA467A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A50" w:rsidRDefault="004A4A50" w:rsidP="004A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материальному положению среди жителей сельских поселений и малых городов Карелии, попавших в выборку</w:t>
      </w:r>
      <w:r w:rsidR="004D2E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преобладают бедные и малообеспеченные. ( Диагр.4)</w:t>
      </w:r>
    </w:p>
    <w:p w:rsidR="004A4A50" w:rsidRDefault="00187D2C" w:rsidP="003838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из Диагр. 4 </w:t>
      </w:r>
      <w:r w:rsidR="004D2E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доля бедных и малообеспеченных, которым не хватает зарплаты или она вся уходит на повседневные нужды</w:t>
      </w:r>
      <w:r w:rsidR="00D73932">
        <w:rPr>
          <w:rFonts w:ascii="Times New Roman" w:hAnsi="Times New Roman" w:cs="Times New Roman"/>
          <w:sz w:val="24"/>
          <w:szCs w:val="24"/>
        </w:rPr>
        <w:t>, что делает даже покупку одежды затруднительной</w:t>
      </w:r>
      <w:r w:rsidR="004D2E0A">
        <w:rPr>
          <w:rFonts w:ascii="Times New Roman" w:hAnsi="Times New Roman" w:cs="Times New Roman"/>
          <w:sz w:val="24"/>
          <w:szCs w:val="24"/>
        </w:rPr>
        <w:t xml:space="preserve">, </w:t>
      </w:r>
      <w:r w:rsidR="00D73932">
        <w:rPr>
          <w:rFonts w:ascii="Times New Roman" w:hAnsi="Times New Roman" w:cs="Times New Roman"/>
          <w:sz w:val="24"/>
          <w:szCs w:val="24"/>
        </w:rPr>
        <w:t xml:space="preserve"> составляет более 50%.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67A" w:rsidRDefault="00AA467A" w:rsidP="007601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67A" w:rsidRDefault="00AA467A" w:rsidP="007601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67A" w:rsidRDefault="00AA467A" w:rsidP="007601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67A" w:rsidRDefault="00AA467A" w:rsidP="007601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67A" w:rsidRDefault="00AA467A" w:rsidP="007601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108" w:rsidRPr="00760108" w:rsidRDefault="00760108" w:rsidP="007601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08">
        <w:rPr>
          <w:rFonts w:ascii="Times New Roman" w:hAnsi="Times New Roman" w:cs="Times New Roman"/>
          <w:b/>
          <w:sz w:val="24"/>
          <w:szCs w:val="24"/>
        </w:rPr>
        <w:t>Диаграмма 4. Распределение респондентов по материальному положению ( в %)</w:t>
      </w:r>
    </w:p>
    <w:p w:rsidR="004A4A50" w:rsidRDefault="004A4A50" w:rsidP="003838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AD40B2" wp14:editId="463ADE82">
            <wp:extent cx="5029200" cy="40671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388D" w:rsidRDefault="005C0C17" w:rsidP="003838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0C17">
        <w:rPr>
          <w:rFonts w:ascii="Times New Roman" w:hAnsi="Times New Roman" w:cs="Times New Roman"/>
          <w:sz w:val="24"/>
          <w:szCs w:val="24"/>
        </w:rPr>
        <w:t>Опрос  показал, что большинство респондентов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17">
        <w:rPr>
          <w:rFonts w:ascii="Times New Roman" w:hAnsi="Times New Roman" w:cs="Times New Roman"/>
          <w:sz w:val="24"/>
          <w:szCs w:val="24"/>
        </w:rPr>
        <w:t>99%</w:t>
      </w:r>
      <w:r>
        <w:rPr>
          <w:rFonts w:ascii="Times New Roman" w:hAnsi="Times New Roman" w:cs="Times New Roman"/>
          <w:sz w:val="24"/>
          <w:szCs w:val="24"/>
        </w:rPr>
        <w:t xml:space="preserve"> пользуются мобильным телефоном, 89% - компьютером и 88% Интернетом.</w:t>
      </w:r>
    </w:p>
    <w:p w:rsidR="00E7559A" w:rsidRPr="005F3BBC" w:rsidRDefault="005F3BBC" w:rsidP="003838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3BBC">
        <w:rPr>
          <w:rFonts w:ascii="Times New Roman" w:hAnsi="Times New Roman" w:cs="Times New Roman"/>
          <w:b/>
          <w:sz w:val="28"/>
          <w:szCs w:val="28"/>
        </w:rPr>
        <w:t xml:space="preserve">Раздел. 2 </w:t>
      </w:r>
      <w:r w:rsidR="00E7559A" w:rsidRPr="005F3BBC">
        <w:rPr>
          <w:rFonts w:ascii="Times New Roman" w:hAnsi="Times New Roman" w:cs="Times New Roman"/>
          <w:b/>
          <w:sz w:val="28"/>
          <w:szCs w:val="28"/>
        </w:rPr>
        <w:t>Общая оценка уровня и качества жизни</w:t>
      </w:r>
    </w:p>
    <w:p w:rsidR="00274C2A" w:rsidRDefault="00FF3BD0" w:rsidP="0038388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Табл. 1 </w:t>
      </w:r>
      <w:r w:rsidR="00274C2A">
        <w:rPr>
          <w:rFonts w:ascii="Times New Roman" w:hAnsi="Times New Roman" w:cs="Times New Roman"/>
          <w:b/>
          <w:sz w:val="24"/>
          <w:szCs w:val="24"/>
        </w:rPr>
        <w:t xml:space="preserve">Доля респондентов, давших неудовлетворительную оценку тех или иных сторон жизни в поселении (в % от общего числа опрошенных) 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134"/>
        <w:gridCol w:w="992"/>
        <w:gridCol w:w="1134"/>
        <w:gridCol w:w="1134"/>
        <w:gridCol w:w="850"/>
        <w:gridCol w:w="709"/>
      </w:tblGrid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Видлица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г.Олонец</w:t>
            </w:r>
          </w:p>
        </w:tc>
        <w:tc>
          <w:tcPr>
            <w:tcW w:w="992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Эссойла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Сосновец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Софпорог</w:t>
            </w:r>
          </w:p>
        </w:tc>
        <w:tc>
          <w:tcPr>
            <w:tcW w:w="850" w:type="dxa"/>
          </w:tcPr>
          <w:p w:rsidR="00A15C1C" w:rsidRPr="008B1EB5" w:rsidRDefault="00A15C1C" w:rsidP="00E755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Лоухи</w:t>
            </w:r>
          </w:p>
        </w:tc>
        <w:tc>
          <w:tcPr>
            <w:tcW w:w="709" w:type="dxa"/>
          </w:tcPr>
          <w:p w:rsidR="00A15C1C" w:rsidRPr="008B1EB5" w:rsidRDefault="00A15C1C" w:rsidP="00E7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Качество воздуха</w:t>
            </w:r>
          </w:p>
        </w:tc>
        <w:tc>
          <w:tcPr>
            <w:tcW w:w="993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E75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Качество воды</w:t>
            </w:r>
          </w:p>
        </w:tc>
        <w:tc>
          <w:tcPr>
            <w:tcW w:w="993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Состояние дорог</w:t>
            </w:r>
          </w:p>
        </w:tc>
        <w:tc>
          <w:tcPr>
            <w:tcW w:w="993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Обеспечение электроэнергией</w:t>
            </w:r>
          </w:p>
        </w:tc>
        <w:tc>
          <w:tcPr>
            <w:tcW w:w="993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Преступность</w:t>
            </w:r>
          </w:p>
        </w:tc>
        <w:tc>
          <w:tcPr>
            <w:tcW w:w="993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Уборка мусора</w:t>
            </w:r>
          </w:p>
        </w:tc>
        <w:tc>
          <w:tcPr>
            <w:tcW w:w="993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Качество образования</w:t>
            </w:r>
          </w:p>
        </w:tc>
        <w:tc>
          <w:tcPr>
            <w:tcW w:w="993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Качество мед. обслуживания</w:t>
            </w:r>
          </w:p>
        </w:tc>
        <w:tc>
          <w:tcPr>
            <w:tcW w:w="993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Ситуация с работой</w:t>
            </w:r>
          </w:p>
        </w:tc>
        <w:tc>
          <w:tcPr>
            <w:tcW w:w="993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A15C1C" w:rsidRPr="008B1EB5" w:rsidRDefault="00760108" w:rsidP="0076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Работа общественного транспорта</w:t>
            </w:r>
          </w:p>
        </w:tc>
        <w:tc>
          <w:tcPr>
            <w:tcW w:w="993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A15C1C" w:rsidTr="00AA467A">
        <w:tc>
          <w:tcPr>
            <w:tcW w:w="2376" w:type="dxa"/>
          </w:tcPr>
          <w:p w:rsidR="00A15C1C" w:rsidRPr="008B1EB5" w:rsidRDefault="00A15C1C" w:rsidP="004D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Обеспечение продовольственными и непродовольственными товарами</w:t>
            </w:r>
          </w:p>
        </w:tc>
        <w:tc>
          <w:tcPr>
            <w:tcW w:w="993" w:type="dxa"/>
          </w:tcPr>
          <w:p w:rsidR="00A15C1C" w:rsidRPr="008B1EB5" w:rsidRDefault="009F5FBE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5C1C" w:rsidRPr="008B1EB5" w:rsidRDefault="00760108" w:rsidP="0076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15C1C" w:rsidRPr="008B1EB5" w:rsidRDefault="00760108" w:rsidP="0038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E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7559A" w:rsidRDefault="00E7559A" w:rsidP="0038388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7D2C" w:rsidRDefault="00187D2C" w:rsidP="00AA46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2C">
        <w:rPr>
          <w:rFonts w:ascii="Times New Roman" w:hAnsi="Times New Roman" w:cs="Times New Roman"/>
          <w:sz w:val="24"/>
          <w:szCs w:val="24"/>
        </w:rPr>
        <w:t>Как видно из таблицы 1</w:t>
      </w:r>
      <w:r>
        <w:rPr>
          <w:rFonts w:ascii="Times New Roman" w:hAnsi="Times New Roman" w:cs="Times New Roman"/>
          <w:sz w:val="24"/>
          <w:szCs w:val="24"/>
        </w:rPr>
        <w:t>, самыми проблемными сторонами жизни для жителей являются обеспеченность работой, состояние дорог, качество питьевой воды, работа общественного транспорта, качество медицинского обслуживания.</w:t>
      </w:r>
    </w:p>
    <w:p w:rsidR="00187D2C" w:rsidRPr="00D73932" w:rsidRDefault="00D73932" w:rsidP="00AA46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932">
        <w:rPr>
          <w:rFonts w:ascii="Times New Roman" w:hAnsi="Times New Roman" w:cs="Times New Roman"/>
          <w:sz w:val="24"/>
          <w:szCs w:val="24"/>
        </w:rPr>
        <w:t>На проблему низкого достатка, невозможность найти работу с хорошим</w:t>
      </w:r>
      <w:r>
        <w:rPr>
          <w:rFonts w:ascii="Times New Roman" w:hAnsi="Times New Roman" w:cs="Times New Roman"/>
          <w:sz w:val="24"/>
          <w:szCs w:val="24"/>
        </w:rPr>
        <w:t xml:space="preserve"> заработком указали в целом почти 40% респондентов ( Диагр. 5).</w:t>
      </w:r>
    </w:p>
    <w:p w:rsidR="00274DED" w:rsidRDefault="00274DED" w:rsidP="0038388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5C33EF" wp14:editId="2C502AF0">
            <wp:extent cx="4791075" cy="36290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4DED" w:rsidRPr="00D73932" w:rsidRDefault="00D73932" w:rsidP="003838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3932">
        <w:rPr>
          <w:rFonts w:ascii="Times New Roman" w:hAnsi="Times New Roman" w:cs="Times New Roman"/>
          <w:sz w:val="24"/>
          <w:szCs w:val="24"/>
        </w:rPr>
        <w:t>Столь же серьезной проблемой является и невозможность улучшить свои жилищные условия</w:t>
      </w:r>
      <w:r>
        <w:rPr>
          <w:rFonts w:ascii="Times New Roman" w:hAnsi="Times New Roman" w:cs="Times New Roman"/>
          <w:sz w:val="24"/>
          <w:szCs w:val="24"/>
        </w:rPr>
        <w:t>, что отметили более трети опрошенных (Диагр. 6).</w:t>
      </w:r>
    </w:p>
    <w:p w:rsidR="00FF3BD0" w:rsidRDefault="00FF3BD0" w:rsidP="0038388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DBF52C" wp14:editId="3B158025">
            <wp:extent cx="4572000" cy="3367088"/>
            <wp:effectExtent l="0" t="0" r="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7D2C" w:rsidRPr="00D73932" w:rsidRDefault="00D73932" w:rsidP="003838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3932">
        <w:rPr>
          <w:rFonts w:ascii="Times New Roman" w:hAnsi="Times New Roman" w:cs="Times New Roman"/>
          <w:sz w:val="24"/>
          <w:szCs w:val="24"/>
        </w:rPr>
        <w:t>Значительная часть жителей не удовлетворена возможностями проведения досуга и</w:t>
      </w:r>
      <w:r>
        <w:rPr>
          <w:rFonts w:ascii="Times New Roman" w:hAnsi="Times New Roman" w:cs="Times New Roman"/>
          <w:sz w:val="24"/>
          <w:szCs w:val="24"/>
        </w:rPr>
        <w:t xml:space="preserve"> указали на то, что им некуда пойти в свободное время ( Диагр. 7).</w:t>
      </w:r>
    </w:p>
    <w:p w:rsidR="00D73932" w:rsidRDefault="00FF3BD0" w:rsidP="0038388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E3CB3C" wp14:editId="53868810">
            <wp:extent cx="5057775" cy="31765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E7397" w:rsidRDefault="00AA467A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</w:t>
      </w:r>
      <w:r w:rsidR="00CE7397">
        <w:rPr>
          <w:rFonts w:ascii="Times New Roman" w:hAnsi="Times New Roman" w:cs="Times New Roman"/>
          <w:sz w:val="24"/>
          <w:szCs w:val="24"/>
        </w:rPr>
        <w:t xml:space="preserve"> часть жителей оценивает перспективу социально-экономического развития своего поселения как неблагоприятную</w:t>
      </w:r>
      <w:r w:rsidR="005F3BBC">
        <w:rPr>
          <w:rFonts w:ascii="Times New Roman" w:hAnsi="Times New Roman" w:cs="Times New Roman"/>
          <w:sz w:val="24"/>
          <w:szCs w:val="24"/>
        </w:rPr>
        <w:t xml:space="preserve"> (Диагр. 8)</w:t>
      </w:r>
      <w:r w:rsidR="00CE7397">
        <w:rPr>
          <w:rFonts w:ascii="Times New Roman" w:hAnsi="Times New Roman" w:cs="Times New Roman"/>
          <w:sz w:val="24"/>
          <w:szCs w:val="24"/>
        </w:rPr>
        <w:t>.</w:t>
      </w:r>
    </w:p>
    <w:p w:rsidR="005F3BBC" w:rsidRDefault="005F3BBC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55AB75" wp14:editId="2E496023">
            <wp:extent cx="457200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E7397" w:rsidRDefault="00CE739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более трети опрошенных ( 36%) указали, что они не удовлетворены своей жизнью, 42%  скорее удовлетворены и 22 % - затруднились дать такую оценку. </w:t>
      </w:r>
    </w:p>
    <w:p w:rsidR="00CE7397" w:rsidRDefault="00CE739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3932" w:rsidRPr="00187D2C">
        <w:rPr>
          <w:rFonts w:ascii="Times New Roman" w:hAnsi="Times New Roman" w:cs="Times New Roman"/>
          <w:sz w:val="24"/>
          <w:szCs w:val="24"/>
        </w:rPr>
        <w:t>ри всех сложностях жизни</w:t>
      </w:r>
      <w:r w:rsidR="00D73932">
        <w:rPr>
          <w:rFonts w:ascii="Times New Roman" w:hAnsi="Times New Roman" w:cs="Times New Roman"/>
          <w:sz w:val="24"/>
          <w:szCs w:val="24"/>
        </w:rPr>
        <w:t xml:space="preserve"> только каждый десятый в целом заявил о желании покинуть свое поселение, больше всего таких людей оказалось в п. Лоухи (21%).</w:t>
      </w:r>
    </w:p>
    <w:p w:rsidR="00AA467A" w:rsidRDefault="00AA467A" w:rsidP="00D73932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A467A" w:rsidRDefault="00AA467A" w:rsidP="00D73932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73932" w:rsidRPr="00AA467A" w:rsidRDefault="005F3BBC" w:rsidP="00D7393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A467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CE7397" w:rsidRPr="00AA467A">
        <w:rPr>
          <w:rFonts w:ascii="Times New Roman" w:hAnsi="Times New Roman" w:cs="Times New Roman"/>
          <w:b/>
          <w:sz w:val="28"/>
          <w:szCs w:val="28"/>
        </w:rPr>
        <w:t>Диалог и взаимодействие жителей с властью</w:t>
      </w:r>
    </w:p>
    <w:p w:rsidR="005F3BBC" w:rsidRDefault="00AA467A" w:rsidP="00AA467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67A">
        <w:rPr>
          <w:rFonts w:ascii="Times New Roman" w:hAnsi="Times New Roman" w:cs="Times New Roman"/>
          <w:sz w:val="24"/>
          <w:szCs w:val="24"/>
        </w:rPr>
        <w:t>Как показано в Дигр. 9,10,11</w:t>
      </w:r>
      <w:r w:rsidR="004D2E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примерно треть респондентов оценивают работу Глав своих поселений, депутатов и сотрудников местных администраций как плохую, неудовлетворительную, порядка 40% как удовлетворительную и от 7 до 20% как хорошую.</w:t>
      </w:r>
    </w:p>
    <w:p w:rsidR="005F3BBC" w:rsidRDefault="005F3BBC" w:rsidP="00D739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8DE966" wp14:editId="24A5DEC0">
            <wp:extent cx="4953000" cy="49244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F3BBC" w:rsidRDefault="005F3BBC" w:rsidP="00D739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F3BBC" w:rsidRDefault="007539DA" w:rsidP="00D739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6347DC" wp14:editId="67BD5E58">
            <wp:extent cx="5105400" cy="41910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F3BBC" w:rsidRDefault="008B1EB5" w:rsidP="00D739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55A578" wp14:editId="2D52EED2">
            <wp:extent cx="4572000" cy="44958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B1EB5" w:rsidRDefault="008B1EB5" w:rsidP="00D739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A467A" w:rsidRDefault="005145F6" w:rsidP="00291B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распространенными механизмами участия граждан в осуществлении местного самоуправления являются собрания (52%), публичные слушания ( 41%), сходы граждан (39%).</w:t>
      </w:r>
    </w:p>
    <w:p w:rsidR="005145F6" w:rsidRDefault="005145F6" w:rsidP="00291B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формами взаимодействия граждан с органами местного самоуправления выступают  личные встречи с их представителями (63%), общественные приемные (34%) и публикации ответов на обращения жителей в прессе (30%). Реже используется для этих целей Интернет (24%), ответы в прямом радио- и телеэфире ( 2%) , горячие телефонные линии ( 12%).</w:t>
      </w:r>
    </w:p>
    <w:p w:rsidR="005F3BBC" w:rsidRPr="008B1EB5" w:rsidRDefault="008B1EB5" w:rsidP="00291B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EB5">
        <w:rPr>
          <w:rFonts w:ascii="Times New Roman" w:hAnsi="Times New Roman" w:cs="Times New Roman"/>
          <w:sz w:val="24"/>
          <w:szCs w:val="24"/>
        </w:rPr>
        <w:t>По данным опроса в целом толь</w:t>
      </w:r>
      <w:r>
        <w:rPr>
          <w:rFonts w:ascii="Times New Roman" w:hAnsi="Times New Roman" w:cs="Times New Roman"/>
          <w:sz w:val="24"/>
          <w:szCs w:val="24"/>
        </w:rPr>
        <w:t>ко 22% респондентов удовлетворены открытостью органов МСУ, не удовлетворен – 41%</w:t>
      </w:r>
      <w:r w:rsidR="00291B5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 34% - затруднились ответить.</w:t>
      </w:r>
    </w:p>
    <w:p w:rsidR="005F3BBC" w:rsidRDefault="00291B55" w:rsidP="00D7393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1B5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AB39FB">
        <w:rPr>
          <w:rFonts w:ascii="Times New Roman" w:hAnsi="Times New Roman" w:cs="Times New Roman"/>
          <w:b/>
          <w:sz w:val="28"/>
          <w:szCs w:val="28"/>
        </w:rPr>
        <w:t>Роль б</w:t>
      </w:r>
      <w:r w:rsidR="005F3BBC" w:rsidRPr="00291B55">
        <w:rPr>
          <w:rFonts w:ascii="Times New Roman" w:hAnsi="Times New Roman" w:cs="Times New Roman"/>
          <w:b/>
          <w:sz w:val="28"/>
          <w:szCs w:val="28"/>
        </w:rPr>
        <w:t>иблиотек</w:t>
      </w:r>
      <w:r w:rsidR="00AB39FB">
        <w:rPr>
          <w:rFonts w:ascii="Times New Roman" w:hAnsi="Times New Roman" w:cs="Times New Roman"/>
          <w:b/>
          <w:sz w:val="28"/>
          <w:szCs w:val="28"/>
        </w:rPr>
        <w:t>и</w:t>
      </w:r>
      <w:r w:rsidR="005F3BBC" w:rsidRPr="00291B55">
        <w:rPr>
          <w:rFonts w:ascii="Times New Roman" w:hAnsi="Times New Roman" w:cs="Times New Roman"/>
          <w:b/>
          <w:sz w:val="28"/>
          <w:szCs w:val="28"/>
        </w:rPr>
        <w:t xml:space="preserve"> в жизни поселений</w:t>
      </w:r>
    </w:p>
    <w:p w:rsidR="00291B55" w:rsidRDefault="00552AAA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2AAA">
        <w:rPr>
          <w:rFonts w:ascii="Times New Roman" w:hAnsi="Times New Roman" w:cs="Times New Roman"/>
          <w:sz w:val="24"/>
          <w:szCs w:val="24"/>
        </w:rPr>
        <w:t>Опрос показал</w:t>
      </w:r>
      <w:r>
        <w:rPr>
          <w:rFonts w:ascii="Times New Roman" w:hAnsi="Times New Roman" w:cs="Times New Roman"/>
          <w:sz w:val="24"/>
          <w:szCs w:val="24"/>
        </w:rPr>
        <w:t xml:space="preserve">, что подавляющее большинство респондентов ( 74%) ощущают потребность </w:t>
      </w:r>
      <w:r w:rsidR="004D2E0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новых знаниях, информации, расширении своего кругозора.</w:t>
      </w:r>
    </w:p>
    <w:p w:rsidR="00AB39FB" w:rsidRDefault="00AB39FB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респондентов сегодня являются  читателями или пользователями библиотек, либо выступают в обоих этих качествах ( Диагр. 12).</w:t>
      </w:r>
    </w:p>
    <w:p w:rsidR="00AB39FB" w:rsidRDefault="00AB39FB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5E8CBB" wp14:editId="754D9A4F">
            <wp:extent cx="5295900" cy="49244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B39FB" w:rsidRDefault="00AB39FB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A07E7" w:rsidRDefault="009A07E7" w:rsidP="009A07E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показано на Диагр.13</w:t>
      </w:r>
      <w:r w:rsidR="004D2E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чаще всего люди обращаются в библиотеку в связи со своими хобби и личными интересами; для того, чтобы чем-то занять свое свободное время и в связи с профессиональной деятельностью.</w:t>
      </w:r>
    </w:p>
    <w:p w:rsidR="009A07E7" w:rsidRDefault="009A07E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A07E7" w:rsidRDefault="009A07E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A07E7" w:rsidRDefault="009A07E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A07E7" w:rsidRDefault="009A07E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B39FB" w:rsidRDefault="009A07E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A07E7" w:rsidRDefault="009A07E7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93ABE3" wp14:editId="32360925">
            <wp:simplePos x="0" y="0"/>
            <wp:positionH relativeFrom="column">
              <wp:posOffset>152400</wp:posOffset>
            </wp:positionH>
            <wp:positionV relativeFrom="paragraph">
              <wp:posOffset>-1109345</wp:posOffset>
            </wp:positionV>
            <wp:extent cx="4381500" cy="4448175"/>
            <wp:effectExtent l="0" t="0" r="0" b="0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Опрос показал, что те, кто обращался в библиотеки, оценивают качество обслуживания как «хорошее» и «очень хорошее» - 95% респондентов. </w:t>
      </w:r>
    </w:p>
    <w:p w:rsidR="00837575" w:rsidRDefault="00837575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575" w:rsidRDefault="00837575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575" w:rsidRDefault="00837575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575" w:rsidRDefault="00837575" w:rsidP="00D7393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37575" w:rsidSect="00C84FB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06" w:rsidRDefault="001E5A06" w:rsidP="009D7E68">
      <w:pPr>
        <w:spacing w:after="0" w:line="240" w:lineRule="auto"/>
      </w:pPr>
      <w:r>
        <w:separator/>
      </w:r>
    </w:p>
  </w:endnote>
  <w:endnote w:type="continuationSeparator" w:id="0">
    <w:p w:rsidR="001E5A06" w:rsidRDefault="001E5A06" w:rsidP="009D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68" w:rsidRDefault="009D7E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697827"/>
      <w:docPartObj>
        <w:docPartGallery w:val="Page Numbers (Bottom of Page)"/>
        <w:docPartUnique/>
      </w:docPartObj>
    </w:sdtPr>
    <w:sdtEndPr/>
    <w:sdtContent>
      <w:p w:rsidR="009D7E68" w:rsidRDefault="009D7E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A06">
          <w:rPr>
            <w:noProof/>
          </w:rPr>
          <w:t>1</w:t>
        </w:r>
        <w:r>
          <w:fldChar w:fldCharType="end"/>
        </w:r>
      </w:p>
    </w:sdtContent>
  </w:sdt>
  <w:p w:rsidR="009D7E68" w:rsidRDefault="009D7E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68" w:rsidRDefault="009D7E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06" w:rsidRDefault="001E5A06" w:rsidP="009D7E68">
      <w:pPr>
        <w:spacing w:after="0" w:line="240" w:lineRule="auto"/>
      </w:pPr>
      <w:r>
        <w:separator/>
      </w:r>
    </w:p>
  </w:footnote>
  <w:footnote w:type="continuationSeparator" w:id="0">
    <w:p w:rsidR="001E5A06" w:rsidRDefault="001E5A06" w:rsidP="009D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68" w:rsidRDefault="009D7E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68" w:rsidRDefault="009D7E6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68" w:rsidRDefault="009D7E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A4F"/>
    <w:rsid w:val="00147909"/>
    <w:rsid w:val="00187D2C"/>
    <w:rsid w:val="001E5A06"/>
    <w:rsid w:val="00274C2A"/>
    <w:rsid w:val="00274DED"/>
    <w:rsid w:val="00291B55"/>
    <w:rsid w:val="002A60C5"/>
    <w:rsid w:val="002B68A9"/>
    <w:rsid w:val="00347B0E"/>
    <w:rsid w:val="0038388D"/>
    <w:rsid w:val="004A4A50"/>
    <w:rsid w:val="004D2E0A"/>
    <w:rsid w:val="005145F6"/>
    <w:rsid w:val="00552AAA"/>
    <w:rsid w:val="005C0C17"/>
    <w:rsid w:val="005F3BBC"/>
    <w:rsid w:val="007539DA"/>
    <w:rsid w:val="00760108"/>
    <w:rsid w:val="00837575"/>
    <w:rsid w:val="00846370"/>
    <w:rsid w:val="008B1EB5"/>
    <w:rsid w:val="009A07E7"/>
    <w:rsid w:val="009D7E68"/>
    <w:rsid w:val="009F5FBE"/>
    <w:rsid w:val="00A15C1C"/>
    <w:rsid w:val="00AA467A"/>
    <w:rsid w:val="00AB39FB"/>
    <w:rsid w:val="00C84FBA"/>
    <w:rsid w:val="00CA6F06"/>
    <w:rsid w:val="00CE7397"/>
    <w:rsid w:val="00D01571"/>
    <w:rsid w:val="00D72FE0"/>
    <w:rsid w:val="00D73932"/>
    <w:rsid w:val="00E7559A"/>
    <w:rsid w:val="00E94951"/>
    <w:rsid w:val="00F23F8D"/>
    <w:rsid w:val="00F65C2A"/>
    <w:rsid w:val="00FC0A4F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8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7575"/>
    <w:pPr>
      <w:spacing w:after="160"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D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7E68"/>
  </w:style>
  <w:style w:type="paragraph" w:styleId="a9">
    <w:name w:val="footer"/>
    <w:basedOn w:val="a"/>
    <w:link w:val="aa"/>
    <w:uiPriority w:val="99"/>
    <w:unhideWhenUsed/>
    <w:rsid w:val="009D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7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Диаграмма 1. Распределение респондентов по возрастным группам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Лист1!$A$1:$A$5</c:f>
              <c:strCache>
                <c:ptCount val="5"/>
                <c:pt idx="0">
                  <c:v>От 18 до 30 лет</c:v>
                </c:pt>
                <c:pt idx="1">
                  <c:v>От 31 до 40 лет</c:v>
                </c:pt>
                <c:pt idx="2">
                  <c:v>От 41 до 50 лет</c:v>
                </c:pt>
                <c:pt idx="3">
                  <c:v>От 51 до 60 лет</c:v>
                </c:pt>
                <c:pt idx="4">
                  <c:v>Старше 60 лет</c:v>
                </c:pt>
              </c:strCache>
            </c:strRef>
          </c:cat>
          <c:val>
            <c:numRef>
              <c:f>Лист1!$B$1:$B$5</c:f>
              <c:numCache>
                <c:formatCode>0%</c:formatCode>
                <c:ptCount val="5"/>
                <c:pt idx="0">
                  <c:v>0.15000000000000002</c:v>
                </c:pt>
                <c:pt idx="1">
                  <c:v>0.18000000000000002</c:v>
                </c:pt>
                <c:pt idx="2">
                  <c:v>0.25</c:v>
                </c:pt>
                <c:pt idx="3">
                  <c:v>0.25</c:v>
                </c:pt>
                <c:pt idx="4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Диагр. 10 Оценка жителями работы депутатов ( в %) 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Лист3!$A$8</c:f>
              <c:strCache>
                <c:ptCount val="1"/>
                <c:pt idx="0">
                  <c:v>хорошо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Лист3!$B$7:$H$7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Лист3!$B$8:$H$8</c:f>
              <c:numCache>
                <c:formatCode>General</c:formatCode>
                <c:ptCount val="7"/>
                <c:pt idx="0">
                  <c:v>5</c:v>
                </c:pt>
                <c:pt idx="1">
                  <c:v>7</c:v>
                </c:pt>
                <c:pt idx="2">
                  <c:v>11</c:v>
                </c:pt>
                <c:pt idx="3">
                  <c:v>0</c:v>
                </c:pt>
                <c:pt idx="4">
                  <c:v>17</c:v>
                </c:pt>
                <c:pt idx="5">
                  <c:v>9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Лист3!$A$9</c:f>
              <c:strCache>
                <c:ptCount val="1"/>
                <c:pt idx="0">
                  <c:v>удовлетворительно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Лист3!$B$7:$H$7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Лист3!$B$9:$H$9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38</c:v>
                </c:pt>
                <c:pt idx="3">
                  <c:v>28</c:v>
                </c:pt>
                <c:pt idx="4">
                  <c:v>67</c:v>
                </c:pt>
                <c:pt idx="5">
                  <c:v>43</c:v>
                </c:pt>
                <c:pt idx="6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Лист3!$A$10</c:f>
              <c:strCache>
                <c:ptCount val="1"/>
                <c:pt idx="0">
                  <c:v>плохо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Лист3!$B$7:$H$7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Лист3!$B$10:$H$10</c:f>
              <c:numCache>
                <c:formatCode>General</c:formatCode>
                <c:ptCount val="7"/>
                <c:pt idx="0">
                  <c:v>29</c:v>
                </c:pt>
                <c:pt idx="1">
                  <c:v>39</c:v>
                </c:pt>
                <c:pt idx="2">
                  <c:v>30</c:v>
                </c:pt>
                <c:pt idx="3">
                  <c:v>50</c:v>
                </c:pt>
                <c:pt idx="4">
                  <c:v>0</c:v>
                </c:pt>
                <c:pt idx="5">
                  <c:v>23</c:v>
                </c:pt>
                <c:pt idx="6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Лист3!$A$11</c:f>
              <c:strCache>
                <c:ptCount val="1"/>
                <c:pt idx="0">
                  <c:v>затр.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Лист3!$B$7:$H$7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Лист3!$B$11:$H$11</c:f>
              <c:numCache>
                <c:formatCode>General</c:formatCode>
                <c:ptCount val="7"/>
                <c:pt idx="0">
                  <c:v>28</c:v>
                </c:pt>
                <c:pt idx="1">
                  <c:v>16</c:v>
                </c:pt>
                <c:pt idx="2">
                  <c:v>21</c:v>
                </c:pt>
                <c:pt idx="3">
                  <c:v>22</c:v>
                </c:pt>
                <c:pt idx="4">
                  <c:v>16</c:v>
                </c:pt>
                <c:pt idx="5">
                  <c:v>25</c:v>
                </c:pt>
                <c:pt idx="6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1653120"/>
        <c:axId val="101663104"/>
        <c:axId val="0"/>
      </c:bar3DChart>
      <c:catAx>
        <c:axId val="101653120"/>
        <c:scaling>
          <c:orientation val="minMax"/>
        </c:scaling>
        <c:delete val="0"/>
        <c:axPos val="l"/>
        <c:majorTickMark val="out"/>
        <c:minorTickMark val="none"/>
        <c:tickLblPos val="nextTo"/>
        <c:crossAx val="101663104"/>
        <c:crosses val="autoZero"/>
        <c:auto val="1"/>
        <c:lblAlgn val="ctr"/>
        <c:lblOffset val="100"/>
        <c:noMultiLvlLbl val="0"/>
      </c:catAx>
      <c:valAx>
        <c:axId val="1016631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653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Диагр. 11 Оценка жителями работы сотрудников местной администрации ( в %)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Лист3!$A$15</c:f>
              <c:strCache>
                <c:ptCount val="1"/>
                <c:pt idx="0">
                  <c:v>хорошо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Лист3!$B$14:$H$14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Лист3!$B$15:$H$15</c:f>
              <c:numCache>
                <c:formatCode>General</c:formatCode>
                <c:ptCount val="7"/>
                <c:pt idx="0">
                  <c:v>17</c:v>
                </c:pt>
                <c:pt idx="1">
                  <c:v>8</c:v>
                </c:pt>
                <c:pt idx="2">
                  <c:v>23</c:v>
                </c:pt>
                <c:pt idx="3">
                  <c:v>4</c:v>
                </c:pt>
                <c:pt idx="4">
                  <c:v>33</c:v>
                </c:pt>
                <c:pt idx="5">
                  <c:v>20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Лист3!$A$16</c:f>
              <c:strCache>
                <c:ptCount val="1"/>
                <c:pt idx="0">
                  <c:v>удовлетворительно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Лист3!$B$14:$H$14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Лист3!$B$16:$H$16</c:f>
              <c:numCache>
                <c:formatCode>General</c:formatCode>
                <c:ptCount val="7"/>
                <c:pt idx="0">
                  <c:v>64</c:v>
                </c:pt>
                <c:pt idx="1">
                  <c:v>31</c:v>
                </c:pt>
                <c:pt idx="2">
                  <c:v>58</c:v>
                </c:pt>
                <c:pt idx="3">
                  <c:v>44</c:v>
                </c:pt>
                <c:pt idx="4">
                  <c:v>59</c:v>
                </c:pt>
                <c:pt idx="5">
                  <c:v>43</c:v>
                </c:pt>
                <c:pt idx="6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Лист3!$A$17</c:f>
              <c:strCache>
                <c:ptCount val="1"/>
                <c:pt idx="0">
                  <c:v>плохо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Лист3!$B$14:$H$14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Лист3!$B$17:$H$17</c:f>
              <c:numCache>
                <c:formatCode>General</c:formatCode>
                <c:ptCount val="7"/>
                <c:pt idx="0">
                  <c:v>9</c:v>
                </c:pt>
                <c:pt idx="1">
                  <c:v>43</c:v>
                </c:pt>
                <c:pt idx="2">
                  <c:v>6</c:v>
                </c:pt>
                <c:pt idx="3">
                  <c:v>40</c:v>
                </c:pt>
                <c:pt idx="4">
                  <c:v>0</c:v>
                </c:pt>
                <c:pt idx="5">
                  <c:v>14</c:v>
                </c:pt>
                <c:pt idx="6">
                  <c:v>27</c:v>
                </c:pt>
              </c:numCache>
            </c:numRef>
          </c:val>
        </c:ser>
        <c:ser>
          <c:idx val="3"/>
          <c:order val="3"/>
          <c:tx>
            <c:strRef>
              <c:f>Лист3!$A$18</c:f>
              <c:strCache>
                <c:ptCount val="1"/>
                <c:pt idx="0">
                  <c:v>затр.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Лист3!$B$14:$H$14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Лист3!$B$18:$H$18</c:f>
              <c:numCache>
                <c:formatCode>General</c:formatCode>
                <c:ptCount val="7"/>
                <c:pt idx="0">
                  <c:v>10</c:v>
                </c:pt>
                <c:pt idx="1">
                  <c:v>18</c:v>
                </c:pt>
                <c:pt idx="2">
                  <c:v>13</c:v>
                </c:pt>
                <c:pt idx="3">
                  <c:v>12</c:v>
                </c:pt>
                <c:pt idx="4">
                  <c:v>8</c:v>
                </c:pt>
                <c:pt idx="5">
                  <c:v>23</c:v>
                </c:pt>
                <c:pt idx="6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01843712"/>
        <c:axId val="101845248"/>
        <c:axId val="0"/>
      </c:bar3DChart>
      <c:catAx>
        <c:axId val="101843712"/>
        <c:scaling>
          <c:orientation val="minMax"/>
        </c:scaling>
        <c:delete val="0"/>
        <c:axPos val="l"/>
        <c:majorTickMark val="out"/>
        <c:minorTickMark val="none"/>
        <c:tickLblPos val="nextTo"/>
        <c:crossAx val="101845248"/>
        <c:crosses val="autoZero"/>
        <c:auto val="1"/>
        <c:lblAlgn val="ctr"/>
        <c:lblOffset val="100"/>
        <c:noMultiLvlLbl val="0"/>
      </c:catAx>
      <c:valAx>
        <c:axId val="101845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843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Диагр. 12. Доля читателей и пользователей бибилиотек в поселениях ( в %)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Лист3!$A$46</c:f>
              <c:strCache>
                <c:ptCount val="1"/>
                <c:pt idx="0">
                  <c:v>являются читателями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Лист3!$B$45:$H$45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Лист3!$B$46:$H$46</c:f>
              <c:numCache>
                <c:formatCode>General</c:formatCode>
                <c:ptCount val="7"/>
                <c:pt idx="0">
                  <c:v>22</c:v>
                </c:pt>
                <c:pt idx="1">
                  <c:v>26</c:v>
                </c:pt>
                <c:pt idx="2">
                  <c:v>71</c:v>
                </c:pt>
                <c:pt idx="3">
                  <c:v>64</c:v>
                </c:pt>
                <c:pt idx="4">
                  <c:v>46</c:v>
                </c:pt>
                <c:pt idx="5">
                  <c:v>38</c:v>
                </c:pt>
                <c:pt idx="6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Лист3!$A$47</c:f>
              <c:strCache>
                <c:ptCount val="1"/>
                <c:pt idx="0">
                  <c:v>являются пользователями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Лист3!$B$45:$H$45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Лист3!$B$47:$H$47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13</c:v>
                </c:pt>
                <c:pt idx="3">
                  <c:v>4</c:v>
                </c:pt>
                <c:pt idx="4">
                  <c:v>0</c:v>
                </c:pt>
                <c:pt idx="5">
                  <c:v>7</c:v>
                </c:pt>
                <c:pt idx="6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Лист3!$A$48</c:f>
              <c:strCache>
                <c:ptCount val="1"/>
                <c:pt idx="0">
                  <c:v>являются и читателями и пользователями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Лист3!$B$45:$H$45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Лист3!$B$48:$H$48</c:f>
              <c:numCache>
                <c:formatCode>General</c:formatCode>
                <c:ptCount val="7"/>
                <c:pt idx="0">
                  <c:v>2</c:v>
                </c:pt>
                <c:pt idx="1">
                  <c:v>17</c:v>
                </c:pt>
                <c:pt idx="2">
                  <c:v>6</c:v>
                </c:pt>
                <c:pt idx="3">
                  <c:v>22</c:v>
                </c:pt>
                <c:pt idx="4">
                  <c:v>45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Лист3!$A$49</c:f>
              <c:strCache>
                <c:ptCount val="1"/>
                <c:pt idx="0">
                  <c:v>не являются ни читателями ни пользователями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Лист3!$B$45:$H$45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Лист3!$B$49:$H$49</c:f>
              <c:numCache>
                <c:formatCode>General</c:formatCode>
                <c:ptCount val="7"/>
                <c:pt idx="0">
                  <c:v>74</c:v>
                </c:pt>
                <c:pt idx="1">
                  <c:v>52</c:v>
                </c:pt>
                <c:pt idx="2">
                  <c:v>10</c:v>
                </c:pt>
                <c:pt idx="3">
                  <c:v>10</c:v>
                </c:pt>
                <c:pt idx="4">
                  <c:v>9</c:v>
                </c:pt>
                <c:pt idx="5">
                  <c:v>47</c:v>
                </c:pt>
                <c:pt idx="6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874304"/>
        <c:axId val="101900672"/>
        <c:axId val="0"/>
      </c:bar3DChart>
      <c:catAx>
        <c:axId val="101874304"/>
        <c:scaling>
          <c:orientation val="minMax"/>
        </c:scaling>
        <c:delete val="0"/>
        <c:axPos val="l"/>
        <c:majorTickMark val="out"/>
        <c:minorTickMark val="none"/>
        <c:tickLblPos val="nextTo"/>
        <c:crossAx val="101900672"/>
        <c:crosses val="autoZero"/>
        <c:auto val="1"/>
        <c:lblAlgn val="ctr"/>
        <c:lblOffset val="100"/>
        <c:noMultiLvlLbl val="0"/>
      </c:catAx>
      <c:valAx>
        <c:axId val="1019006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874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Диагр. 13. Цели обращения в библиотеку ( в %)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B0F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Лист3!$A$53:$A$59</c:f>
              <c:strCache>
                <c:ptCount val="7"/>
                <c:pt idx="0">
                  <c:v>профессиональный интерес</c:v>
                </c:pt>
                <c:pt idx="1">
                  <c:v>выполнение учебных заданий</c:v>
                </c:pt>
                <c:pt idx="2">
                  <c:v>поиск информации для решения жизненных проблем</c:v>
                </c:pt>
                <c:pt idx="3">
                  <c:v>в связи с общественной деятельностью</c:v>
                </c:pt>
                <c:pt idx="4">
                  <c:v>хобби и личные интересы </c:v>
                </c:pt>
                <c:pt idx="5">
                  <c:v>проведение свободного времени</c:v>
                </c:pt>
                <c:pt idx="6">
                  <c:v>другая цель</c:v>
                </c:pt>
              </c:strCache>
            </c:strRef>
          </c:cat>
          <c:val>
            <c:numRef>
              <c:f>Лист3!$B$53:$B$59</c:f>
              <c:numCache>
                <c:formatCode>General</c:formatCode>
                <c:ptCount val="7"/>
                <c:pt idx="0">
                  <c:v>25</c:v>
                </c:pt>
                <c:pt idx="1">
                  <c:v>14</c:v>
                </c:pt>
                <c:pt idx="2">
                  <c:v>12</c:v>
                </c:pt>
                <c:pt idx="3">
                  <c:v>12</c:v>
                </c:pt>
                <c:pt idx="4">
                  <c:v>52</c:v>
                </c:pt>
                <c:pt idx="5">
                  <c:v>40</c:v>
                </c:pt>
                <c:pt idx="6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002688"/>
        <c:axId val="102004224"/>
        <c:axId val="0"/>
      </c:bar3DChart>
      <c:catAx>
        <c:axId val="1020026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004224"/>
        <c:crosses val="autoZero"/>
        <c:auto val="1"/>
        <c:lblAlgn val="ctr"/>
        <c:lblOffset val="100"/>
        <c:noMultiLvlLbl val="0"/>
      </c:catAx>
      <c:valAx>
        <c:axId val="1020042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2002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Диаграмма 2. Распределение респондентов по образованию</a:t>
            </a:r>
            <a:endParaRPr lang="ru-RU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7030A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Лист1!$A$13:$A$17</c:f>
              <c:strCache>
                <c:ptCount val="5"/>
                <c:pt idx="0">
                  <c:v>Неполное среднее</c:v>
                </c:pt>
                <c:pt idx="1">
                  <c:v>Среднее полное общее</c:v>
                </c:pt>
                <c:pt idx="2">
                  <c:v>Среднее специальное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Лист1!$B$13:$B$17</c:f>
              <c:numCache>
                <c:formatCode>General</c:formatCode>
                <c:ptCount val="5"/>
                <c:pt idx="0">
                  <c:v>2</c:v>
                </c:pt>
                <c:pt idx="1">
                  <c:v>10</c:v>
                </c:pt>
                <c:pt idx="2">
                  <c:v>48</c:v>
                </c:pt>
                <c:pt idx="3">
                  <c:v>5</c:v>
                </c:pt>
                <c:pt idx="4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9583616"/>
        <c:axId val="69585152"/>
        <c:axId val="0"/>
      </c:bar3DChart>
      <c:catAx>
        <c:axId val="69583616"/>
        <c:scaling>
          <c:orientation val="minMax"/>
        </c:scaling>
        <c:delete val="0"/>
        <c:axPos val="b"/>
        <c:majorTickMark val="out"/>
        <c:minorTickMark val="none"/>
        <c:tickLblPos val="nextTo"/>
        <c:crossAx val="69585152"/>
        <c:crosses val="autoZero"/>
        <c:auto val="1"/>
        <c:lblAlgn val="ctr"/>
        <c:lblOffset val="100"/>
        <c:noMultiLvlLbl val="0"/>
      </c:catAx>
      <c:valAx>
        <c:axId val="69585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583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Лист2!$A$1:$A$12</c:f>
              <c:strCache>
                <c:ptCount val="12"/>
                <c:pt idx="0">
                  <c:v>Работа в сельском или лесном хозяйстве</c:v>
                </c:pt>
                <c:pt idx="1">
                  <c:v>Работа в сфере промышленности, строительства, транспорта</c:v>
                </c:pt>
                <c:pt idx="2">
                  <c:v>Работа в сфере муниципального управления ( муниципальные служащие, депутаты местных Советов)</c:v>
                </c:pt>
                <c:pt idx="3">
                  <c:v>Работа в сфере культуры, СМИ ( в т.ч. библиотеке)</c:v>
                </c:pt>
                <c:pt idx="4">
                  <c:v>Работа в сфере здравоохранения, образования, социальной защиты населения</c:v>
                </c:pt>
                <c:pt idx="5">
                  <c:v>Работа в сфере услуг, торговли, коммунальном хозяйстве</c:v>
                </c:pt>
                <c:pt idx="6">
                  <c:v>Военнослужащий, работник правоохранительных органов</c:v>
                </c:pt>
                <c:pt idx="7">
                  <c:v>Пенсионер</c:v>
                </c:pt>
                <c:pt idx="8">
                  <c:v>Домохозяйка</c:v>
                </c:pt>
                <c:pt idx="9">
                  <c:v>Временно не работающий, безработный</c:v>
                </c:pt>
                <c:pt idx="10">
                  <c:v>Студент, учащийся</c:v>
                </c:pt>
                <c:pt idx="11">
                  <c:v>Другое </c:v>
                </c:pt>
              </c:strCache>
            </c:strRef>
          </c:cat>
          <c:val>
            <c:numRef>
              <c:f>Лист2!$B$1:$B$12</c:f>
              <c:numCache>
                <c:formatCode>General</c:formatCode>
                <c:ptCount val="12"/>
                <c:pt idx="0">
                  <c:v>5</c:v>
                </c:pt>
                <c:pt idx="1">
                  <c:v>9</c:v>
                </c:pt>
                <c:pt idx="2">
                  <c:v>8</c:v>
                </c:pt>
                <c:pt idx="3">
                  <c:v>11</c:v>
                </c:pt>
                <c:pt idx="4">
                  <c:v>19</c:v>
                </c:pt>
                <c:pt idx="5">
                  <c:v>9</c:v>
                </c:pt>
                <c:pt idx="6">
                  <c:v>2</c:v>
                </c:pt>
                <c:pt idx="7">
                  <c:v>22</c:v>
                </c:pt>
                <c:pt idx="8">
                  <c:v>2</c:v>
                </c:pt>
                <c:pt idx="9">
                  <c:v>5</c:v>
                </c:pt>
                <c:pt idx="10">
                  <c:v>3</c:v>
                </c:pt>
                <c:pt idx="1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37024"/>
        <c:axId val="101147008"/>
      </c:barChart>
      <c:catAx>
        <c:axId val="1011370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01147008"/>
        <c:crosses val="autoZero"/>
        <c:auto val="1"/>
        <c:lblAlgn val="ctr"/>
        <c:lblOffset val="100"/>
        <c:noMultiLvlLbl val="0"/>
      </c:catAx>
      <c:valAx>
        <c:axId val="1011470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1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Лист2!$A$22:$A$27</c:f>
              <c:strCache>
                <c:ptCount val="6"/>
                <c:pt idx="0">
                  <c:v>Денег до зарплаты не хватает, приходится занимать </c:v>
                </c:pt>
                <c:pt idx="1">
                  <c:v>На повседневные затраты уходит вся зарплата</c:v>
                </c:pt>
                <c:pt idx="2">
                  <c:v>На повседневные затраты хватает, но покупка одежды затруднительна</c:v>
                </c:pt>
                <c:pt idx="3">
                  <c:v>В основном хватает, но для покупки дорогостоящих предметов нужно брать в долг</c:v>
                </c:pt>
                <c:pt idx="4">
                  <c:v>Почти на все хватает, но недоступны приобретение квартиры, дачи, машины</c:v>
                </c:pt>
                <c:pt idx="5">
                  <c:v>Практически ни в чем себе не отказываем</c:v>
                </c:pt>
              </c:strCache>
            </c:strRef>
          </c:cat>
          <c:val>
            <c:numRef>
              <c:f>Лист2!$B$22:$B$27</c:f>
              <c:numCache>
                <c:formatCode>General</c:formatCode>
                <c:ptCount val="6"/>
                <c:pt idx="0">
                  <c:v>14</c:v>
                </c:pt>
                <c:pt idx="1">
                  <c:v>28</c:v>
                </c:pt>
                <c:pt idx="2">
                  <c:v>16</c:v>
                </c:pt>
                <c:pt idx="3">
                  <c:v>27</c:v>
                </c:pt>
                <c:pt idx="4">
                  <c:v>13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1167488"/>
        <c:axId val="101169024"/>
        <c:axId val="0"/>
      </c:bar3DChart>
      <c:catAx>
        <c:axId val="1011674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169024"/>
        <c:crosses val="autoZero"/>
        <c:auto val="1"/>
        <c:lblAlgn val="ctr"/>
        <c:lblOffset val="100"/>
        <c:noMultiLvlLbl val="0"/>
      </c:catAx>
      <c:valAx>
        <c:axId val="1011690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167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Диагр. 5 Доля жителей, указавших на невозможность найти работу с хорошим заработком ( в %)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Найти работу с хорошим заработком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Лист1!$B$8:$H$8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Лист1!$B$9:$H$9</c:f>
              <c:numCache>
                <c:formatCode>General</c:formatCode>
                <c:ptCount val="7"/>
                <c:pt idx="0">
                  <c:v>61</c:v>
                </c:pt>
                <c:pt idx="1">
                  <c:v>38</c:v>
                </c:pt>
                <c:pt idx="2">
                  <c:v>21</c:v>
                </c:pt>
                <c:pt idx="3">
                  <c:v>28</c:v>
                </c:pt>
                <c:pt idx="4">
                  <c:v>67</c:v>
                </c:pt>
                <c:pt idx="5">
                  <c:v>41</c:v>
                </c:pt>
                <c:pt idx="6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1591680"/>
        <c:axId val="101601664"/>
        <c:axId val="0"/>
      </c:bar3DChart>
      <c:catAx>
        <c:axId val="101591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01601664"/>
        <c:crosses val="autoZero"/>
        <c:auto val="1"/>
        <c:lblAlgn val="ctr"/>
        <c:lblOffset val="100"/>
        <c:noMultiLvlLbl val="0"/>
      </c:catAx>
      <c:valAx>
        <c:axId val="101601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591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Диагр. 6. Доля жителей, указавших на невозможность улучшить свои жилищные условия ( в %)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Возможность улучшить жилищные условия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Лист1!$B$4:$H$4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Лист1!$B$5:$H$5</c:f>
              <c:numCache>
                <c:formatCode>General</c:formatCode>
                <c:ptCount val="7"/>
                <c:pt idx="0">
                  <c:v>41</c:v>
                </c:pt>
                <c:pt idx="1">
                  <c:v>45</c:v>
                </c:pt>
                <c:pt idx="2">
                  <c:v>4</c:v>
                </c:pt>
                <c:pt idx="3">
                  <c:v>22</c:v>
                </c:pt>
                <c:pt idx="4">
                  <c:v>92</c:v>
                </c:pt>
                <c:pt idx="5">
                  <c:v>35</c:v>
                </c:pt>
                <c:pt idx="6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612928"/>
        <c:axId val="101627008"/>
      </c:barChart>
      <c:catAx>
        <c:axId val="101612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1627008"/>
        <c:crosses val="autoZero"/>
        <c:auto val="1"/>
        <c:lblAlgn val="ctr"/>
        <c:lblOffset val="100"/>
        <c:noMultiLvlLbl val="0"/>
      </c:catAx>
      <c:valAx>
        <c:axId val="10162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612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Диагр. 7. Доля жителей, ответивших, что им некуда пойти в свободное время ( в %)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Некуда пойти в свободное время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Лист1!$B$1:$H$1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56</c:v>
                </c:pt>
                <c:pt idx="1">
                  <c:v>34</c:v>
                </c:pt>
                <c:pt idx="2">
                  <c:v>6</c:v>
                </c:pt>
                <c:pt idx="3">
                  <c:v>86</c:v>
                </c:pt>
                <c:pt idx="4">
                  <c:v>42</c:v>
                </c:pt>
                <c:pt idx="5">
                  <c:v>31</c:v>
                </c:pt>
                <c:pt idx="6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385344"/>
        <c:axId val="101386880"/>
      </c:barChart>
      <c:catAx>
        <c:axId val="101385344"/>
        <c:scaling>
          <c:orientation val="minMax"/>
        </c:scaling>
        <c:delete val="0"/>
        <c:axPos val="l"/>
        <c:majorTickMark val="out"/>
        <c:minorTickMark val="none"/>
        <c:tickLblPos val="nextTo"/>
        <c:crossAx val="101386880"/>
        <c:crosses val="autoZero"/>
        <c:auto val="1"/>
        <c:lblAlgn val="ctr"/>
        <c:lblOffset val="100"/>
        <c:noMultiLvlLbl val="0"/>
      </c:catAx>
      <c:valAx>
        <c:axId val="101386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385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Диагр. 8 Доля жителей , оценивших перспективу развития поселения как неблагоприятную ( в %)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Лист1!$A$12</c:f>
              <c:strCache>
                <c:ptCount val="1"/>
                <c:pt idx="0">
                  <c:v>Неблагоприятная перспектива развития поселения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Лист1!$B$11:$H$11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Лист1!$B$12:$H$12</c:f>
              <c:numCache>
                <c:formatCode>General</c:formatCode>
                <c:ptCount val="7"/>
                <c:pt idx="0">
                  <c:v>49</c:v>
                </c:pt>
                <c:pt idx="1">
                  <c:v>34</c:v>
                </c:pt>
                <c:pt idx="2">
                  <c:v>9</c:v>
                </c:pt>
                <c:pt idx="3">
                  <c:v>31</c:v>
                </c:pt>
                <c:pt idx="4">
                  <c:v>58</c:v>
                </c:pt>
                <c:pt idx="5">
                  <c:v>45</c:v>
                </c:pt>
                <c:pt idx="6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1403648"/>
        <c:axId val="101425920"/>
        <c:axId val="0"/>
      </c:bar3DChart>
      <c:catAx>
        <c:axId val="101403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01425920"/>
        <c:crosses val="autoZero"/>
        <c:auto val="1"/>
        <c:lblAlgn val="ctr"/>
        <c:lblOffset val="100"/>
        <c:noMultiLvlLbl val="0"/>
      </c:catAx>
      <c:valAx>
        <c:axId val="101425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403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Диагр. 9 Оценка жителями работы Главы поселения ( в %)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хорошо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Лист3!$B$1:$H$1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Лист3!$B$2:$H$2</c:f>
              <c:numCache>
                <c:formatCode>General</c:formatCode>
                <c:ptCount val="7"/>
                <c:pt idx="0">
                  <c:v>31</c:v>
                </c:pt>
                <c:pt idx="1">
                  <c:v>11</c:v>
                </c:pt>
                <c:pt idx="2">
                  <c:v>23</c:v>
                </c:pt>
                <c:pt idx="3">
                  <c:v>6</c:v>
                </c:pt>
                <c:pt idx="4">
                  <c:v>0</c:v>
                </c:pt>
                <c:pt idx="5">
                  <c:v>51</c:v>
                </c:pt>
                <c:pt idx="6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удовлетворительно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Лист3!$B$1:$H$1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Лист3!$B$3:$H$3</c:f>
              <c:numCache>
                <c:formatCode>General</c:formatCode>
                <c:ptCount val="7"/>
                <c:pt idx="0">
                  <c:v>54</c:v>
                </c:pt>
                <c:pt idx="1">
                  <c:v>29</c:v>
                </c:pt>
                <c:pt idx="2">
                  <c:v>50</c:v>
                </c:pt>
                <c:pt idx="3">
                  <c:v>40</c:v>
                </c:pt>
                <c:pt idx="4">
                  <c:v>75</c:v>
                </c:pt>
                <c:pt idx="5">
                  <c:v>35</c:v>
                </c:pt>
                <c:pt idx="6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плохо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Лист3!$B$1:$H$1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Лист3!$B$4:$H$4</c:f>
              <c:numCache>
                <c:formatCode>General</c:formatCode>
                <c:ptCount val="7"/>
                <c:pt idx="0">
                  <c:v>3</c:v>
                </c:pt>
                <c:pt idx="1">
                  <c:v>50</c:v>
                </c:pt>
                <c:pt idx="2">
                  <c:v>8</c:v>
                </c:pt>
                <c:pt idx="3">
                  <c:v>44</c:v>
                </c:pt>
                <c:pt idx="4">
                  <c:v>17</c:v>
                </c:pt>
                <c:pt idx="5">
                  <c:v>3</c:v>
                </c:pt>
                <c:pt idx="6">
                  <c:v>28</c:v>
                </c:pt>
              </c:numCache>
            </c:numRef>
          </c:val>
        </c:ser>
        <c:ser>
          <c:idx val="3"/>
          <c:order val="3"/>
          <c:tx>
            <c:strRef>
              <c:f>Лист3!$A$5</c:f>
              <c:strCache>
                <c:ptCount val="1"/>
                <c:pt idx="0">
                  <c:v>затр.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Лист3!$B$1:$H$1</c:f>
              <c:strCache>
                <c:ptCount val="7"/>
                <c:pt idx="0">
                  <c:v>Видлица</c:v>
                </c:pt>
                <c:pt idx="1">
                  <c:v>г.Олонец</c:v>
                </c:pt>
                <c:pt idx="2">
                  <c:v>Эссойла</c:v>
                </c:pt>
                <c:pt idx="3">
                  <c:v>Сосновец</c:v>
                </c:pt>
                <c:pt idx="4">
                  <c:v>Софпорог</c:v>
                </c:pt>
                <c:pt idx="5">
                  <c:v>Лоухи</c:v>
                </c:pt>
                <c:pt idx="6">
                  <c:v>Всего</c:v>
                </c:pt>
              </c:strCache>
            </c:strRef>
          </c:cat>
          <c:val>
            <c:numRef>
              <c:f>Лист3!$B$5:$H$5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19</c:v>
                </c:pt>
                <c:pt idx="3">
                  <c:v>10</c:v>
                </c:pt>
                <c:pt idx="4">
                  <c:v>8</c:v>
                </c:pt>
                <c:pt idx="5">
                  <c:v>11</c:v>
                </c:pt>
                <c:pt idx="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921536"/>
        <c:axId val="101923072"/>
      </c:barChart>
      <c:catAx>
        <c:axId val="101921536"/>
        <c:scaling>
          <c:orientation val="minMax"/>
        </c:scaling>
        <c:delete val="0"/>
        <c:axPos val="l"/>
        <c:majorTickMark val="out"/>
        <c:minorTickMark val="none"/>
        <c:tickLblPos val="nextTo"/>
        <c:crossAx val="101923072"/>
        <c:crosses val="autoZero"/>
        <c:auto val="1"/>
        <c:lblAlgn val="ctr"/>
        <c:lblOffset val="100"/>
        <c:noMultiLvlLbl val="0"/>
      </c:catAx>
      <c:valAx>
        <c:axId val="1019230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92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59E9-A82A-4B8C-A838-35DCD38C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2017-02-27T13:57:00Z</dcterms:created>
  <dcterms:modified xsi:type="dcterms:W3CDTF">2017-02-28T08:37:00Z</dcterms:modified>
</cp:coreProperties>
</file>